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文件编号：BJ-WYGS-PZ-003                                                      版本：2016版</w:t>
      </w:r>
    </w:p>
    <w:p>
      <w:pPr>
        <w:spacing w:line="580" w:lineRule="exact"/>
        <w:jc w:val="center"/>
        <w:rPr>
          <w:rFonts w:ascii="Times New Roman" w:hAnsi="Times New Roman" w:eastAsia="小标宋" w:cs="Times New Roman"/>
          <w:sz w:val="36"/>
          <w:szCs w:val="36"/>
        </w:rPr>
      </w:pPr>
      <w:r>
        <w:rPr>
          <w:rFonts w:hint="eastAsia" w:ascii="Times New Roman" w:hAnsi="Times New Roman" w:eastAsia="小标宋" w:cs="Times New Roman"/>
          <w:sz w:val="36"/>
          <w:szCs w:val="36"/>
        </w:rPr>
        <w:t>中铁建（北京）物业管理有限公司</w:t>
      </w:r>
    </w:p>
    <w:p>
      <w:pPr>
        <w:spacing w:line="580" w:lineRule="exact"/>
        <w:jc w:val="center"/>
        <w:rPr>
          <w:rFonts w:hint="eastAsia" w:ascii="Times New Roman" w:hAnsi="Times New Roman" w:eastAsia="小标宋" w:cs="Times New Roman"/>
          <w:sz w:val="36"/>
          <w:szCs w:val="36"/>
        </w:rPr>
      </w:pPr>
      <w:r>
        <w:rPr>
          <w:rFonts w:hint="eastAsia" w:ascii="Times New Roman" w:hAnsi="Times New Roman" w:eastAsia="小标宋" w:cs="Times New Roman"/>
          <w:sz w:val="36"/>
          <w:szCs w:val="36"/>
        </w:rPr>
        <w:t>品质检查管理办法</w:t>
      </w:r>
    </w:p>
    <w:p>
      <w:pPr>
        <w:spacing w:line="58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文件更新履历表</w:t>
      </w:r>
    </w:p>
    <w:tbl>
      <w:tblPr>
        <w:tblStyle w:val="8"/>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01"/>
        <w:gridCol w:w="1559"/>
        <w:gridCol w:w="1324"/>
        <w:gridCol w:w="1395"/>
        <w:gridCol w:w="1155"/>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7"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版本</w:t>
            </w:r>
          </w:p>
        </w:tc>
        <w:tc>
          <w:tcPr>
            <w:tcW w:w="1701"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文件名称</w:t>
            </w:r>
          </w:p>
        </w:tc>
        <w:tc>
          <w:tcPr>
            <w:tcW w:w="1559"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文件编号</w:t>
            </w:r>
          </w:p>
        </w:tc>
        <w:tc>
          <w:tcPr>
            <w:tcW w:w="1324"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管理归属部门</w:t>
            </w:r>
          </w:p>
        </w:tc>
        <w:tc>
          <w:tcPr>
            <w:tcW w:w="1395"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文件管理岗位</w:t>
            </w:r>
          </w:p>
        </w:tc>
        <w:tc>
          <w:tcPr>
            <w:tcW w:w="1155"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生效日期</w:t>
            </w:r>
          </w:p>
        </w:tc>
        <w:tc>
          <w:tcPr>
            <w:tcW w:w="690"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2016版</w:t>
            </w:r>
          </w:p>
        </w:tc>
        <w:tc>
          <w:tcPr>
            <w:tcW w:w="1701"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品质检查管理办法</w:t>
            </w:r>
          </w:p>
        </w:tc>
        <w:tc>
          <w:tcPr>
            <w:tcW w:w="1559" w:type="dxa"/>
          </w:tcPr>
          <w:p>
            <w:pPr>
              <w:spacing w:line="580" w:lineRule="exact"/>
              <w:jc w:val="center"/>
              <w:rPr>
                <w:rFonts w:asciiTheme="minorEastAsia" w:hAnsiTheme="minorEastAsia" w:cstheme="minorEastAsia"/>
                <w:sz w:val="18"/>
                <w:szCs w:val="18"/>
              </w:rPr>
            </w:pPr>
            <w:r>
              <w:rPr>
                <w:rFonts w:hint="eastAsia" w:asciiTheme="majorEastAsia" w:hAnsiTheme="majorEastAsia" w:eastAsiaTheme="majorEastAsia" w:cstheme="majorEastAsia"/>
                <w:sz w:val="18"/>
                <w:szCs w:val="18"/>
              </w:rPr>
              <w:t xml:space="preserve">BJ-WYGS-PZ-003    </w:t>
            </w:r>
          </w:p>
        </w:tc>
        <w:tc>
          <w:tcPr>
            <w:tcW w:w="1324"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品质管理部</w:t>
            </w:r>
          </w:p>
        </w:tc>
        <w:tc>
          <w:tcPr>
            <w:tcW w:w="1395"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品质管理岗</w:t>
            </w:r>
          </w:p>
        </w:tc>
        <w:tc>
          <w:tcPr>
            <w:tcW w:w="1155" w:type="dxa"/>
          </w:tcPr>
          <w:p>
            <w:pPr>
              <w:spacing w:line="58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2016.</w:t>
            </w:r>
            <w:r>
              <w:rPr>
                <w:rFonts w:hint="eastAsia" w:asciiTheme="minorEastAsia" w:hAnsiTheme="minorEastAsia" w:cstheme="minorEastAsia"/>
                <w:sz w:val="18"/>
                <w:szCs w:val="18"/>
                <w:lang w:val="en-US" w:eastAsia="zh-CN"/>
              </w:rPr>
              <w:t>8</w:t>
            </w:r>
          </w:p>
        </w:tc>
        <w:tc>
          <w:tcPr>
            <w:tcW w:w="690" w:type="dxa"/>
          </w:tcPr>
          <w:p>
            <w:pPr>
              <w:spacing w:line="580" w:lineRule="exact"/>
              <w:jc w:val="center"/>
              <w:rPr>
                <w:rFonts w:asciiTheme="minorEastAsia" w:hAnsi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580" w:lineRule="exact"/>
              <w:jc w:val="center"/>
              <w:rPr>
                <w:rFonts w:asciiTheme="minorEastAsia" w:hAnsiTheme="minorEastAsia" w:cstheme="minorEastAsia"/>
                <w:sz w:val="18"/>
                <w:szCs w:val="18"/>
              </w:rPr>
            </w:pPr>
          </w:p>
        </w:tc>
        <w:tc>
          <w:tcPr>
            <w:tcW w:w="1701" w:type="dxa"/>
          </w:tcPr>
          <w:p>
            <w:pPr>
              <w:spacing w:line="580" w:lineRule="exact"/>
              <w:jc w:val="center"/>
              <w:rPr>
                <w:rFonts w:asciiTheme="minorEastAsia" w:hAnsiTheme="minorEastAsia" w:cstheme="minorEastAsia"/>
                <w:sz w:val="18"/>
                <w:szCs w:val="18"/>
              </w:rPr>
            </w:pPr>
          </w:p>
        </w:tc>
        <w:tc>
          <w:tcPr>
            <w:tcW w:w="1559" w:type="dxa"/>
          </w:tcPr>
          <w:p>
            <w:pPr>
              <w:spacing w:line="580" w:lineRule="exact"/>
              <w:jc w:val="center"/>
              <w:rPr>
                <w:rFonts w:asciiTheme="minorEastAsia" w:hAnsiTheme="minorEastAsia" w:cstheme="minorEastAsia"/>
                <w:sz w:val="18"/>
                <w:szCs w:val="18"/>
              </w:rPr>
            </w:pPr>
          </w:p>
        </w:tc>
        <w:tc>
          <w:tcPr>
            <w:tcW w:w="1324" w:type="dxa"/>
          </w:tcPr>
          <w:p>
            <w:pPr>
              <w:spacing w:line="580" w:lineRule="exact"/>
              <w:jc w:val="center"/>
              <w:rPr>
                <w:rFonts w:asciiTheme="minorEastAsia" w:hAnsiTheme="minorEastAsia" w:cstheme="minorEastAsia"/>
                <w:sz w:val="18"/>
                <w:szCs w:val="18"/>
              </w:rPr>
            </w:pPr>
          </w:p>
        </w:tc>
        <w:tc>
          <w:tcPr>
            <w:tcW w:w="1395" w:type="dxa"/>
          </w:tcPr>
          <w:p>
            <w:pPr>
              <w:spacing w:line="580" w:lineRule="exact"/>
              <w:jc w:val="center"/>
              <w:rPr>
                <w:rFonts w:asciiTheme="minorEastAsia" w:hAnsiTheme="minorEastAsia" w:cstheme="minorEastAsia"/>
                <w:sz w:val="18"/>
                <w:szCs w:val="18"/>
              </w:rPr>
            </w:pPr>
          </w:p>
        </w:tc>
        <w:tc>
          <w:tcPr>
            <w:tcW w:w="1155" w:type="dxa"/>
          </w:tcPr>
          <w:p>
            <w:pPr>
              <w:spacing w:line="580" w:lineRule="exact"/>
              <w:jc w:val="center"/>
              <w:rPr>
                <w:rFonts w:asciiTheme="minorEastAsia" w:hAnsiTheme="minorEastAsia" w:cstheme="minorEastAsia"/>
                <w:sz w:val="18"/>
                <w:szCs w:val="18"/>
              </w:rPr>
            </w:pPr>
          </w:p>
        </w:tc>
        <w:tc>
          <w:tcPr>
            <w:tcW w:w="690" w:type="dxa"/>
          </w:tcPr>
          <w:p>
            <w:pPr>
              <w:spacing w:line="580" w:lineRule="exact"/>
              <w:jc w:val="center"/>
              <w:rPr>
                <w:rFonts w:asciiTheme="minorEastAsia" w:hAnsiTheme="minorEastAsia" w:cstheme="minorEastAsia"/>
                <w:sz w:val="18"/>
                <w:szCs w:val="18"/>
              </w:rPr>
            </w:pPr>
          </w:p>
        </w:tc>
      </w:tr>
    </w:tbl>
    <w:p>
      <w:pPr>
        <w:pStyle w:val="10"/>
        <w:spacing w:line="360" w:lineRule="auto"/>
        <w:ind w:firstLine="0" w:firstLineChars="0"/>
        <w:rPr>
          <w:rFonts w:ascii="黑体" w:eastAsia="黑体" w:hAnsiTheme="minorEastAsia"/>
          <w:sz w:val="30"/>
          <w:szCs w:val="30"/>
        </w:rPr>
      </w:pPr>
    </w:p>
    <w:p>
      <w:pPr>
        <w:pStyle w:val="10"/>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总  则</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为规范中铁建（北京）物业管理有限公司（以下简称“物业公司”）的品质检查流程，明确品质检查要求，结合物业公司实际，制定本办法。</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本办法适用于物业公司及所属各单位所有品质管控项目。所属各单位指物业公司各分公司和项目部。</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本办法所称品质检查管理工作，包括品质检查标准、品质检查频次及考核要求。</w:t>
      </w:r>
    </w:p>
    <w:p>
      <w:pPr>
        <w:pStyle w:val="10"/>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品质检查管理的建设</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品质管理部拟定品质检查要求及检查标准，明确检查频次及考核要求，检查所属单位品质制度执行情况。</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编制年度检查计划，组织品质检查工作，并形成检查考核结果、检查分析建议、检查报告，对检查问题的跟踪关闭工作。</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结合所属单位考核情况采用划线或强制分布法对全国项目开展考核排名工作，下达公司年度品质检查考核要求及落实考核结果。</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对品质检查过程中的管理亮点进行提炼，形成参考性制度或提案推广。</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负责对共性品质问题的专项提升举措的策划、实施、改进、分析工作。</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所属单位负责对品质制度及政令的落实开展检查工作。</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所属单位根据物业公司品质管理部的要求开展品质管理工作，对检查问题进行整改反馈。</w:t>
      </w:r>
    </w:p>
    <w:p>
      <w:pPr>
        <w:pStyle w:val="10"/>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实施过程与要求</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品质分级检查为两级：总公司为一级检查，</w:t>
      </w:r>
      <w:r>
        <w:rPr>
          <w:rFonts w:hint="eastAsia" w:asciiTheme="minorEastAsia" w:hAnsiTheme="minorEastAsia"/>
          <w:color w:val="000000" w:themeColor="text1"/>
          <w:sz w:val="30"/>
          <w:szCs w:val="30"/>
        </w:rPr>
        <w:t>不定期对各单位进行品质抽查；</w:t>
      </w:r>
      <w:r>
        <w:rPr>
          <w:rFonts w:hint="eastAsia" w:asciiTheme="minorEastAsia" w:hAnsiTheme="minorEastAsia"/>
          <w:sz w:val="30"/>
          <w:szCs w:val="30"/>
        </w:rPr>
        <w:t>原则上每个分公司检查一次，如含两个以上项目的分公司，抽检其中的两个项目；分公司级为二级检查，每季度上报品质检查成果。</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品质管理部采用部门内部人员检查或成立品质检查小组的形式组织品质检查。</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品质分级检查标准，详见《中铁建物业分级品质检查标准细则》。所属单位可在物业公司品质管理部拟定的品质检查标准基础上进行细化和提升，但不得降低检查标准或减少检查项。</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品质管理部对各受检项目的管理亮点做归集通报，可推广的亮点由受检项目以提案的形式提交品质管理部纳入品质创新提案库。</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对检查过程中发现的共性问题，品质管理部负责牵头组织专项整改计划，统筹开展整改工作，并可组织专项整改力量对不合格问题开展整改跟进处理工作，同时组织专项复检。</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若受检项目对品质检查结果存在异议，应当在会议提出，经品质检查小组审议后确定是否为不合格项，若对审议结果有异议则可在检查结束后向上一级主管领导申诉。</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分公司按照物业公司品质管理部发布的品质考核指标进行分解，按检查周期发布品质检查计划，并按计划实施检查。每次检查时必须对上次问题开展复核并做好本次检查，同时发布考核结果。</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分公司在所属单位开展品质检查，做好检查前会议，检查后会议通报及争议问题复议工作。明确本次检查纪律与检查要求，受检单位明确本次检查配合协作人员；同时明确本次检查的时间及检查后会议时间。</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组织开展品质检查时，受检项目专业口人员陪同检查，并做好检查记录工作，检查组人员汇总检查数据。</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组织检查后检查通报会议，受检单位对争议问题做出解释，检查小组复议检查结果。受检单位签字确认检查问题清单，检查结束。</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分公司承接物业公司品质管理部品质指标并发布内部品质考核指标。</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lang w:eastAsia="zh-CN"/>
        </w:rPr>
        <w:t>分公司品质负责人每季度发布品质检查计划，并按计划实施检查，每次检查时必须对上一次问题开展复核并做好本次检查，检查结束后对品质指标监控考核发布考核结果。</w:t>
      </w:r>
      <w:bookmarkStart w:id="0" w:name="_GoBack"/>
      <w:bookmarkEnd w:id="0"/>
    </w:p>
    <w:p>
      <w:pPr>
        <w:pStyle w:val="10"/>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品质检查计分</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计分方法：</w:t>
      </w:r>
    </w:p>
    <w:tbl>
      <w:tblPr>
        <w:tblStyle w:val="7"/>
        <w:tblpPr w:leftFromText="180" w:rightFromText="180" w:vertAnchor="text" w:horzAnchor="margin" w:tblpXSpec="center" w:tblpY="506"/>
        <w:tblW w:w="8926" w:type="dxa"/>
        <w:tblInd w:w="0" w:type="dxa"/>
        <w:tblLayout w:type="fixed"/>
        <w:tblCellMar>
          <w:top w:w="0" w:type="dxa"/>
          <w:left w:w="108" w:type="dxa"/>
          <w:bottom w:w="0" w:type="dxa"/>
          <w:right w:w="108" w:type="dxa"/>
        </w:tblCellMar>
      </w:tblPr>
      <w:tblGrid>
        <w:gridCol w:w="704"/>
        <w:gridCol w:w="1559"/>
        <w:gridCol w:w="993"/>
        <w:gridCol w:w="1275"/>
        <w:gridCol w:w="1418"/>
        <w:gridCol w:w="1559"/>
        <w:gridCol w:w="1418"/>
      </w:tblGrid>
      <w:tr>
        <w:tblPrEx>
          <w:tblLayout w:type="fixed"/>
          <w:tblCellMar>
            <w:top w:w="0" w:type="dxa"/>
            <w:left w:w="108" w:type="dxa"/>
            <w:bottom w:w="0" w:type="dxa"/>
            <w:right w:w="108" w:type="dxa"/>
          </w:tblCellMar>
        </w:tblPrEx>
        <w:trPr>
          <w:trHeight w:val="373" w:hRule="atLeast"/>
        </w:trPr>
        <w:tc>
          <w:tcPr>
            <w:tcW w:w="70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项目</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FF0000"/>
                <w:kern w:val="0"/>
                <w:sz w:val="24"/>
                <w:szCs w:val="24"/>
              </w:rPr>
            </w:pPr>
            <w:r>
              <w:rPr>
                <w:rFonts w:hint="eastAsia" w:cs="宋体" w:asciiTheme="minorEastAsia" w:hAnsiTheme="minorEastAsia"/>
                <w:color w:val="000000" w:themeColor="text1"/>
                <w:kern w:val="0"/>
                <w:sz w:val="24"/>
                <w:szCs w:val="24"/>
              </w:rPr>
              <w:t>复检成绩</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品检成绩</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品质技能检查</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专项检查</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制度指令执行检查</w:t>
            </w:r>
          </w:p>
        </w:tc>
        <w:tc>
          <w:tcPr>
            <w:tcW w:w="141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总分</w:t>
            </w:r>
          </w:p>
        </w:tc>
      </w:tr>
      <w:tr>
        <w:tblPrEx>
          <w:tblLayout w:type="fixed"/>
          <w:tblCellMar>
            <w:top w:w="0" w:type="dxa"/>
            <w:left w:w="108" w:type="dxa"/>
            <w:bottom w:w="0" w:type="dxa"/>
            <w:right w:w="108" w:type="dxa"/>
          </w:tblCellMar>
        </w:tblPrEx>
        <w:trPr>
          <w:trHeight w:val="373" w:hRule="atLeast"/>
        </w:trPr>
        <w:tc>
          <w:tcPr>
            <w:tcW w:w="704"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color w:val="000000"/>
                <w:kern w:val="0"/>
                <w:sz w:val="24"/>
                <w:szCs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20%</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50%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10%</w:t>
            </w:r>
          </w:p>
        </w:tc>
        <w:tc>
          <w:tcPr>
            <w:tcW w:w="141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color w:val="000000"/>
                <w:kern w:val="0"/>
                <w:sz w:val="24"/>
                <w:szCs w:val="24"/>
              </w:rPr>
            </w:pPr>
          </w:p>
        </w:tc>
      </w:tr>
      <w:tr>
        <w:tblPrEx>
          <w:tblLayout w:type="fixed"/>
          <w:tblCellMar>
            <w:top w:w="0" w:type="dxa"/>
            <w:left w:w="108" w:type="dxa"/>
            <w:bottom w:w="0" w:type="dxa"/>
            <w:right w:w="108" w:type="dxa"/>
          </w:tblCellMar>
        </w:tblPrEx>
        <w:trPr>
          <w:trHeight w:val="2068"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说明</w:t>
            </w:r>
          </w:p>
        </w:tc>
        <w:tc>
          <w:tcPr>
            <w:tcW w:w="1559" w:type="dxa"/>
            <w:tcBorders>
              <w:top w:val="nil"/>
              <w:left w:val="nil"/>
              <w:bottom w:val="single" w:color="auto" w:sz="4" w:space="0"/>
              <w:right w:val="single" w:color="auto" w:sz="4" w:space="0"/>
            </w:tcBorders>
            <w:shd w:val="clear" w:color="auto" w:fill="auto"/>
          </w:tcPr>
          <w:p>
            <w:pPr>
              <w:widowControl/>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对上次大检查的整改项进行复核，未整改完成的每项扣分10分。</w:t>
            </w:r>
          </w:p>
        </w:tc>
        <w:tc>
          <w:tcPr>
            <w:tcW w:w="993" w:type="dxa"/>
            <w:tcBorders>
              <w:top w:val="nil"/>
              <w:left w:val="nil"/>
              <w:bottom w:val="single" w:color="auto" w:sz="4" w:space="0"/>
              <w:right w:val="single" w:color="auto" w:sz="4" w:space="0"/>
            </w:tcBorders>
            <w:shd w:val="clear" w:color="auto" w:fill="auto"/>
          </w:tcPr>
          <w:p>
            <w:pPr>
              <w:widowControl/>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对应检查标准开展检查的得分。</w:t>
            </w:r>
          </w:p>
        </w:tc>
        <w:tc>
          <w:tcPr>
            <w:tcW w:w="1275" w:type="dxa"/>
            <w:tcBorders>
              <w:top w:val="nil"/>
              <w:left w:val="nil"/>
              <w:bottom w:val="single" w:color="auto" w:sz="4" w:space="0"/>
              <w:right w:val="single" w:color="auto" w:sz="4" w:space="0"/>
            </w:tcBorders>
            <w:shd w:val="clear" w:color="auto" w:fill="auto"/>
          </w:tcPr>
          <w:p>
            <w:pPr>
              <w:widowControl/>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由品质管理部每次检查前出具检查方案与评分标准。</w:t>
            </w:r>
          </w:p>
        </w:tc>
        <w:tc>
          <w:tcPr>
            <w:tcW w:w="1418" w:type="dxa"/>
            <w:tcBorders>
              <w:top w:val="nil"/>
              <w:left w:val="nil"/>
              <w:bottom w:val="single" w:color="auto" w:sz="4" w:space="0"/>
              <w:right w:val="single" w:color="auto" w:sz="4" w:space="0"/>
            </w:tcBorders>
            <w:shd w:val="clear" w:color="auto" w:fill="auto"/>
          </w:tcPr>
          <w:p>
            <w:pPr>
              <w:widowControl/>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由品质管理部每次出具专项检查的检查方案与标准。</w:t>
            </w:r>
          </w:p>
        </w:tc>
        <w:tc>
          <w:tcPr>
            <w:tcW w:w="1559" w:type="dxa"/>
            <w:tcBorders>
              <w:top w:val="nil"/>
              <w:left w:val="nil"/>
              <w:bottom w:val="single" w:color="auto" w:sz="4" w:space="0"/>
              <w:right w:val="single" w:color="auto" w:sz="4" w:space="0"/>
            </w:tcBorders>
            <w:shd w:val="clear" w:color="auto" w:fill="auto"/>
          </w:tcPr>
          <w:p>
            <w:pPr>
              <w:widowControl/>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依据品质管理部发布制度或工作要求拟定，检查前发布检查项与计分规则。</w:t>
            </w:r>
          </w:p>
        </w:tc>
        <w:tc>
          <w:tcPr>
            <w:tcW w:w="1418" w:type="dxa"/>
            <w:tcBorders>
              <w:top w:val="nil"/>
              <w:left w:val="nil"/>
              <w:bottom w:val="single" w:color="auto" w:sz="4" w:space="0"/>
              <w:right w:val="single" w:color="auto" w:sz="4" w:space="0"/>
            </w:tcBorders>
            <w:shd w:val="clear" w:color="auto" w:fill="auto"/>
          </w:tcPr>
          <w:p>
            <w:pPr>
              <w:widowControl/>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各计分模块均按百分制，得分乘以权重相加后等于总分。</w:t>
            </w:r>
          </w:p>
        </w:tc>
      </w:tr>
    </w:tbl>
    <w:p>
      <w:pPr>
        <w:pStyle w:val="10"/>
        <w:spacing w:line="360" w:lineRule="auto"/>
        <w:ind w:left="640" w:firstLine="0" w:firstLineChars="0"/>
        <w:rPr>
          <w:rFonts w:asciiTheme="minorEastAsia" w:hAnsiTheme="minorEastAsia"/>
          <w:sz w:val="30"/>
          <w:szCs w:val="30"/>
        </w:rPr>
      </w:pP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检查结束后，由品质管理部结合总体检查情况按标准计分，不做现场打分，现场只确认不合格项目与问题。技能检查、专项检查、制度指令执行。多个同类检查的以平均成绩作为该年度成绩，检查可以单独做也可以和品质检查同时进行。只检查一次的项目以单次得分作为该年度成绩。</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总分=复检成绩×20%+品检成绩×50%+技能成绩×10%+专项检查×10%+制度执行检查×10%</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对技能、专项、制度执行检查的后续固化建设，每开展一次技能、专项、制度执行检查，该类检查的计分模式并入本制度成为考核标准的一部分，各分公司及项目需对应检查标准做好自检及整改工作。</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综合体检查分数计算=对应物业类型1检查评分×该物业面积占比+对应物业类型2检查评分×该物业面积占比。</w:t>
      </w:r>
    </w:p>
    <w:p>
      <w:pPr>
        <w:pStyle w:val="10"/>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客户触点检查</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客户触点检查由分公司组织进行。目的是为强化执行品质标准，提升客户品质感受度，改善现场品质，着眼现场，以结果为导向，提升品质管理的检查。</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物业公司品质管理部负责客户触点检查标准的拟定。</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分公司及项目品质管理部负责执行客户触点管理标准，对触点管理问题提出改进计划，对不合格项做整改。分公司及项目品质管理部可以根据总公司制定的客户触点检查标准进行细化和提升，但不得降低检查标准或减少检查项。</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项目结合品质触点检查标准定期开展自检工作，针对触点面定期巡检，梳理问题清单，对问题开展自检整改工作，并保留相关记录。同区域的项目公司可交叉开展触点陌生人测试工作以提升品质管理工作质量。</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所属单位负责触点服务专项提升工作，结合总部品质管理部检查标准，对共性触点问题以专项提升举措形式组织品质小组开展服务提升工作，各项目配合并执行。</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客户触点检查标准，详见《中铁建物业客户触点检查标准》</w:t>
      </w:r>
    </w:p>
    <w:p>
      <w:pPr>
        <w:pStyle w:val="10"/>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品质检查办法管理</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品质管理部是物业公司品质检查管理办法的归口管理部门。所属单位品质检查管理办法的归口管理部门是品质管理部或专兼职品质管理人员所在部门。</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物业公司品质管理部的品质检查管理办法应明确所属单位是否需要另行制定实施细则。未明确提出要求的，所属单位可以参照品质管理部制定的规章制度执行。</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品质检查管理办法在实际运行中，如发现任何疑问，所属单位品质管理部或专兼职品质管理人员都应当及时将问题反馈给品质管理部，以便解决问题和完善管理办法。</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品质管理部负责物业公司品质检查管理办法的拟定、修订、发布、废止、解释等工作。</w:t>
      </w:r>
    </w:p>
    <w:p>
      <w:pPr>
        <w:pStyle w:val="10"/>
        <w:numPr>
          <w:ilvl w:val="0"/>
          <w:numId w:val="1"/>
        </w:numPr>
        <w:spacing w:line="360" w:lineRule="auto"/>
        <w:ind w:left="0" w:firstLine="0" w:firstLineChars="0"/>
        <w:jc w:val="center"/>
        <w:rPr>
          <w:rFonts w:ascii="黑体" w:hAnsi="黑体" w:eastAsia="黑体"/>
          <w:sz w:val="30"/>
          <w:szCs w:val="30"/>
        </w:rPr>
      </w:pPr>
      <w:r>
        <w:rPr>
          <w:rFonts w:hint="eastAsia" w:ascii="黑体" w:hAnsi="黑体" w:eastAsia="黑体"/>
          <w:sz w:val="30"/>
          <w:szCs w:val="30"/>
        </w:rPr>
        <w:t>附则</w:t>
      </w:r>
    </w:p>
    <w:p>
      <w:pPr>
        <w:pStyle w:val="10"/>
        <w:numPr>
          <w:ilvl w:val="0"/>
          <w:numId w:val="2"/>
        </w:numPr>
        <w:spacing w:line="360" w:lineRule="auto"/>
        <w:ind w:left="0" w:firstLine="600"/>
        <w:rPr>
          <w:rFonts w:asciiTheme="minorEastAsia" w:hAnsiTheme="minorEastAsia"/>
          <w:sz w:val="30"/>
          <w:szCs w:val="30"/>
        </w:rPr>
      </w:pPr>
      <w:r>
        <w:rPr>
          <w:rFonts w:hint="eastAsia" w:asciiTheme="minorEastAsia" w:hAnsiTheme="minorEastAsia"/>
          <w:sz w:val="30"/>
          <w:szCs w:val="30"/>
        </w:rPr>
        <w:t>本办法由物业公司品质管理部负责解释。</w:t>
      </w:r>
    </w:p>
    <w:p>
      <w:pPr>
        <w:pStyle w:val="10"/>
        <w:numPr>
          <w:ilvl w:val="0"/>
          <w:numId w:val="2"/>
        </w:numPr>
        <w:spacing w:line="360" w:lineRule="auto"/>
        <w:ind w:left="0" w:firstLine="600"/>
        <w:rPr>
          <w:rFonts w:ascii="仿宋_GB2312" w:eastAsia="仿宋_GB2312" w:hAnsiTheme="minorEastAsia"/>
          <w:sz w:val="32"/>
          <w:szCs w:val="32"/>
        </w:rPr>
      </w:pPr>
      <w:r>
        <w:rPr>
          <w:rFonts w:hint="eastAsia" w:asciiTheme="minorEastAsia" w:hAnsiTheme="minorEastAsia"/>
          <w:sz w:val="30"/>
          <w:szCs w:val="30"/>
        </w:rPr>
        <w:t>本办法自印发之日起施行</w:t>
      </w:r>
      <w:r>
        <w:rPr>
          <w:rFonts w:hint="eastAsia" w:ascii="仿宋_GB2312" w:eastAsia="仿宋_GB2312" w:hAnsiTheme="minorEastAsia"/>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小标宋">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81316"/>
    </w:sdtPr>
    <w:sdtContent>
      <w:sdt>
        <w:sdtPr>
          <w:id w:val="171357217"/>
        </w:sdtPr>
        <w:sdtContent>
          <w:p>
            <w:pPr>
              <w:pStyle w:val="3"/>
              <w:jc w:val="center"/>
            </w:pP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5C3568"/>
    <w:multiLevelType w:val="multilevel"/>
    <w:tmpl w:val="665C3568"/>
    <w:lvl w:ilvl="0" w:tentative="0">
      <w:start w:val="1"/>
      <w:numFmt w:val="japaneseCounting"/>
      <w:lvlText w:val="第%1条"/>
      <w:lvlJc w:val="left"/>
      <w:pPr>
        <w:ind w:left="1550" w:hanging="840"/>
      </w:pPr>
      <w:rPr>
        <w:rFonts w:hint="eastAsia" w:ascii="仿宋_GB2312" w:eastAsia="仿宋_GB2312"/>
        <w:b/>
        <w:sz w:val="32"/>
        <w:szCs w:val="32"/>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4B4417"/>
    <w:multiLevelType w:val="multilevel"/>
    <w:tmpl w:val="734B4417"/>
    <w:lvl w:ilvl="0" w:tentative="0">
      <w:start w:val="1"/>
      <w:numFmt w:val="japaneseCounting"/>
      <w:lvlText w:val="第%1章"/>
      <w:lvlJc w:val="left"/>
      <w:pPr>
        <w:ind w:left="4057" w:hanging="1080"/>
      </w:pPr>
      <w:rPr>
        <w:rFonts w:hint="default"/>
        <w:b w:val="0"/>
        <w:lang w:val="en-US"/>
      </w:rPr>
    </w:lvl>
    <w:lvl w:ilvl="1" w:tentative="0">
      <w:start w:val="1"/>
      <w:numFmt w:val="decimal"/>
      <w:lvlText w:val="%2."/>
      <w:lvlJc w:val="left"/>
      <w:pPr>
        <w:ind w:left="1795" w:hanging="735"/>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6860"/>
    <w:rsid w:val="00086D85"/>
    <w:rsid w:val="00095FD7"/>
    <w:rsid w:val="0012156E"/>
    <w:rsid w:val="00180994"/>
    <w:rsid w:val="001F05CB"/>
    <w:rsid w:val="00200BCD"/>
    <w:rsid w:val="00233C9D"/>
    <w:rsid w:val="00256F82"/>
    <w:rsid w:val="00294C42"/>
    <w:rsid w:val="002A43D3"/>
    <w:rsid w:val="002A6FD4"/>
    <w:rsid w:val="002E28B6"/>
    <w:rsid w:val="002F5470"/>
    <w:rsid w:val="00383D72"/>
    <w:rsid w:val="004A32F0"/>
    <w:rsid w:val="004A5702"/>
    <w:rsid w:val="004F55D4"/>
    <w:rsid w:val="00530F77"/>
    <w:rsid w:val="0053245F"/>
    <w:rsid w:val="005430A3"/>
    <w:rsid w:val="00567EA5"/>
    <w:rsid w:val="005924AE"/>
    <w:rsid w:val="005F3D5B"/>
    <w:rsid w:val="005F413B"/>
    <w:rsid w:val="006000A7"/>
    <w:rsid w:val="0062140B"/>
    <w:rsid w:val="006337DD"/>
    <w:rsid w:val="00666860"/>
    <w:rsid w:val="006D05EE"/>
    <w:rsid w:val="006E3ED2"/>
    <w:rsid w:val="0076554F"/>
    <w:rsid w:val="007C3939"/>
    <w:rsid w:val="007C7A69"/>
    <w:rsid w:val="008052C1"/>
    <w:rsid w:val="008130A4"/>
    <w:rsid w:val="0085207F"/>
    <w:rsid w:val="00874D3D"/>
    <w:rsid w:val="008F0F99"/>
    <w:rsid w:val="008F58BC"/>
    <w:rsid w:val="00911388"/>
    <w:rsid w:val="009A4360"/>
    <w:rsid w:val="009A7E96"/>
    <w:rsid w:val="009C5843"/>
    <w:rsid w:val="009F2A07"/>
    <w:rsid w:val="00AA4B55"/>
    <w:rsid w:val="00AB0E0A"/>
    <w:rsid w:val="00AC2DFF"/>
    <w:rsid w:val="00B307BE"/>
    <w:rsid w:val="00BD2567"/>
    <w:rsid w:val="00BE193C"/>
    <w:rsid w:val="00BF0863"/>
    <w:rsid w:val="00C03341"/>
    <w:rsid w:val="00C758FF"/>
    <w:rsid w:val="00C947F9"/>
    <w:rsid w:val="00CB2C76"/>
    <w:rsid w:val="00CC361F"/>
    <w:rsid w:val="00CD529E"/>
    <w:rsid w:val="00D01D00"/>
    <w:rsid w:val="00D76E23"/>
    <w:rsid w:val="00D872D8"/>
    <w:rsid w:val="00E35796"/>
    <w:rsid w:val="00E6105F"/>
    <w:rsid w:val="00E80D8D"/>
    <w:rsid w:val="00EB1397"/>
    <w:rsid w:val="00EE75D2"/>
    <w:rsid w:val="00F21F42"/>
    <w:rsid w:val="00F6064B"/>
    <w:rsid w:val="00FE6359"/>
    <w:rsid w:val="089A7B1C"/>
    <w:rsid w:val="1E6C5986"/>
    <w:rsid w:val="2CDF7E0F"/>
    <w:rsid w:val="3ABB48AE"/>
    <w:rsid w:val="447442B5"/>
    <w:rsid w:val="46812E18"/>
    <w:rsid w:val="4F3662AB"/>
    <w:rsid w:val="52DA7FE2"/>
    <w:rsid w:val="5F2244E9"/>
    <w:rsid w:val="634A31AD"/>
    <w:rsid w:val="654048CE"/>
    <w:rsid w:val="6C4F0908"/>
    <w:rsid w:val="70DB1752"/>
    <w:rsid w:val="74D315D4"/>
    <w:rsid w:val="7F0D065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9"/>
    <w:qFormat/>
    <w:uiPriority w:val="0"/>
    <w:pPr>
      <w:spacing w:before="240" w:after="60"/>
      <w:jc w:val="center"/>
      <w:outlineLvl w:val="0"/>
    </w:pPr>
    <w:rPr>
      <w:rFonts w:ascii="Cambria" w:hAnsi="Cambria" w:eastAsia="宋体" w:cs="Times New Roman"/>
      <w:b/>
      <w:bCs/>
      <w:sz w:val="32"/>
      <w:szCs w:val="32"/>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标题 Char"/>
    <w:basedOn w:val="6"/>
    <w:link w:val="5"/>
    <w:qFormat/>
    <w:uiPriority w:val="0"/>
    <w:rPr>
      <w:rFonts w:ascii="Cambria" w:hAnsi="Cambria" w:eastAsia="宋体" w:cs="Times New Roman"/>
      <w:b/>
      <w:bCs/>
      <w:sz w:val="32"/>
      <w:szCs w:val="32"/>
    </w:rPr>
  </w:style>
  <w:style w:type="paragraph" w:customStyle="1" w:styleId="10">
    <w:name w:val="列出段落1"/>
    <w:basedOn w:val="1"/>
    <w:qFormat/>
    <w:uiPriority w:val="34"/>
    <w:pPr>
      <w:ind w:firstLine="420" w:firstLineChars="200"/>
    </w:pPr>
  </w:style>
  <w:style w:type="paragraph" w:customStyle="1" w:styleId="11">
    <w:name w:val="列出段落2"/>
    <w:basedOn w:val="1"/>
    <w:qFormat/>
    <w:uiPriority w:val="34"/>
    <w:pPr>
      <w:ind w:firstLine="420" w:firstLineChars="200"/>
    </w:pPr>
  </w:style>
  <w:style w:type="character" w:customStyle="1" w:styleId="12">
    <w:name w:val="批注框文本 Char"/>
    <w:basedOn w:val="6"/>
    <w:link w:val="2"/>
    <w:semiHidden/>
    <w:qFormat/>
    <w:uiPriority w:val="99"/>
    <w:rPr>
      <w:sz w:val="18"/>
      <w:szCs w:val="18"/>
    </w:rPr>
  </w:style>
  <w:style w:type="character" w:customStyle="1" w:styleId="13">
    <w:name w:val="页眉 Char"/>
    <w:basedOn w:val="6"/>
    <w:link w:val="4"/>
    <w:semiHidden/>
    <w:qFormat/>
    <w:uiPriority w:val="99"/>
    <w:rPr>
      <w:sz w:val="18"/>
      <w:szCs w:val="18"/>
    </w:rPr>
  </w:style>
  <w:style w:type="character" w:customStyle="1" w:styleId="14">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405</Words>
  <Characters>2309</Characters>
  <Lines>19</Lines>
  <Paragraphs>5</Paragraphs>
  <ScaleCrop>false</ScaleCrop>
  <LinksUpToDate>false</LinksUpToDate>
  <CharactersWithSpaces>2709</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2016-05-20T02:11:00Z</dcterms:created>
  <dc:creator>白银娜</dc:creator>
  <cp:lastModifiedBy>Lenovo</cp:lastModifiedBy>
  <cp:lastPrinted>2016-05-20T07:17:00Z</cp:lastPrinted>
  <dcterms:modified xsi:type="dcterms:W3CDTF">2016-08-10T02:15:24Z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